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pPr>
      <w:r w:rsidDel="00000000" w:rsidR="00000000" w:rsidRPr="00000000">
        <w:rPr/>
        <w:drawing>
          <wp:inline distB="0" distT="0" distL="114300" distR="114300">
            <wp:extent cx="965679" cy="639762"/>
            <wp:effectExtent b="0" l="0" r="0" t="0"/>
            <wp:docPr descr="Image: image1.png" id="1" name="image1.png"/>
            <a:graphic>
              <a:graphicData uri="http://schemas.openxmlformats.org/drawingml/2006/picture">
                <pic:pic>
                  <pic:nvPicPr>
                    <pic:cNvPr descr="Image: image1.png" id="0" name="image1.png"/>
                    <pic:cNvPicPr preferRelativeResize="0"/>
                  </pic:nvPicPr>
                  <pic:blipFill>
                    <a:blip r:embed="rId7"/>
                    <a:srcRect b="0" l="0" r="0" t="0"/>
                    <a:stretch>
                      <a:fillRect/>
                    </a:stretch>
                  </pic:blipFill>
                  <pic:spPr>
                    <a:xfrm>
                      <a:off x="0" y="0"/>
                      <a:ext cx="965679" cy="63976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rPr/>
      </w:pPr>
      <w:r w:rsidDel="00000000" w:rsidR="00000000" w:rsidRPr="00000000">
        <w:rPr>
          <w:rtl w:val="0"/>
        </w:rPr>
        <w:t xml:space="preserve">CURANT.AI | PRESS RELEASE </w:t>
      </w:r>
    </w:p>
    <w:p w:rsidR="00000000" w:rsidDel="00000000" w:rsidP="00000000" w:rsidRDefault="00000000" w:rsidRPr="00000000" w14:paraId="00000003">
      <w:pPr>
        <w:pStyle w:val="Subtitle"/>
        <w:spacing w:after="0" w:lineRule="auto"/>
        <w:rPr>
          <w:b w:val="1"/>
          <w:bCs w:val="1"/>
        </w:rPr>
      </w:pPr>
      <w:bookmarkStart w:colFirst="0" w:colLast="0" w:name="_heading=h.z54pz9osuaqo" w:id="0"/>
      <w:bookmarkEnd w:id="0"/>
      <w:r w:rsidDel="00000000" w:rsidR="00000000" w:rsidRPr="00000000">
        <w:rPr>
          <w:b w:val="1"/>
          <w:bCs w:val="1"/>
          <w:rtl w:val="0"/>
        </w:rPr>
        <w:t xml:space="preserve">Curant.ai Secures $3.1 Million Seed Round Led by Diagram to Power the Next Generation of AI for Insurance</w:t>
      </w:r>
    </w:p>
    <w:p w:rsidR="00000000" w:rsidDel="00000000" w:rsidP="00000000" w:rsidRDefault="00000000" w:rsidRPr="00000000" w14:paraId="00000004">
      <w:pPr>
        <w:spacing w:after="0" w:lineRule="auto"/>
        <w:rPr/>
      </w:pPr>
      <w:r w:rsidDel="00000000" w:rsidR="00000000" w:rsidRPr="00000000">
        <w:rPr>
          <w:rtl w:val="0"/>
        </w:rPr>
      </w:r>
    </w:p>
    <w:p w:rsidR="00000000" w:rsidDel="00000000" w:rsidP="00000000" w:rsidRDefault="00000000" w:rsidRPr="00000000" w14:paraId="00000005">
      <w:pPr>
        <w:spacing w:after="160" w:lineRule="auto"/>
        <w:rPr/>
      </w:pPr>
      <w:r w:rsidDel="00000000" w:rsidR="00000000" w:rsidRPr="00000000">
        <w:rPr>
          <w:b w:val="1"/>
          <w:bCs w:val="1"/>
          <w:color w:val="434343"/>
          <w:sz w:val="21"/>
          <w:szCs w:val="21"/>
          <w:rtl w:val="0"/>
        </w:rPr>
        <w:t xml:space="preserve">Funding will accelerate expansion of Curant's AI platform, deepen partnerships, and help the insurance industry move from isolated automation projects to enterprise-wide AI transformation through AI solutions purpose-built for each line of business to drive adoption.</w:t>
      </w:r>
      <w:r w:rsidDel="00000000" w:rsidR="00000000" w:rsidRPr="00000000">
        <w:rPr>
          <w:rtl w:val="0"/>
        </w:rPr>
      </w:r>
    </w:p>
    <w:p w:rsidR="00000000" w:rsidDel="00000000" w:rsidP="00000000" w:rsidRDefault="00000000" w:rsidRPr="00000000" w14:paraId="00000006">
      <w:pPr>
        <w:spacing w:after="160" w:lineRule="auto"/>
        <w:rPr>
          <w:b w:val="1"/>
          <w:bCs w:val="1"/>
        </w:rPr>
      </w:pPr>
      <w:r w:rsidDel="00000000" w:rsidR="00000000" w:rsidRPr="00000000">
        <w:rPr>
          <w:b w:val="1"/>
          <w:bCs w:val="1"/>
          <w:rtl w:val="0"/>
        </w:rPr>
        <w:t xml:space="preserve">ST. GEORGE, Utah — June 28, 2026 — Curant.ai, the AI-powered platform transforming insurance claims through modern AI, today announced the successful closing of a $3.1 million seed financing round led by Diagram, with participation from Humania Insurance, Element Ventures, Blue Plains Capital, and various angels.</w:t>
      </w:r>
    </w:p>
    <w:p w:rsidR="00000000" w:rsidDel="00000000" w:rsidP="00000000" w:rsidRDefault="00000000" w:rsidRPr="00000000" w14:paraId="00000007">
      <w:pPr>
        <w:spacing w:after="160" w:lineRule="auto"/>
        <w:rPr/>
      </w:pPr>
      <w:r w:rsidDel="00000000" w:rsidR="00000000" w:rsidRPr="00000000">
        <w:rPr>
          <w:rtl w:val="0"/>
        </w:rPr>
        <w:t xml:space="preserve">As insurers face increasing pressure to modernize operations, reduce costs, and improve customer outcomes all while remaining compliant, Curant.ai is positioned to become the intelligence layer powering the next generation of insurance. </w:t>
      </w:r>
    </w:p>
    <w:p w:rsidR="00000000" w:rsidDel="00000000" w:rsidP="00000000" w:rsidRDefault="00000000" w:rsidRPr="00000000" w14:paraId="00000008">
      <w:pPr>
        <w:spacing w:after="160" w:lineRule="auto"/>
        <w:rPr/>
      </w:pPr>
      <w:r w:rsidDel="00000000" w:rsidR="00000000" w:rsidRPr="00000000">
        <w:rPr>
          <w:rtl w:val="0"/>
        </w:rPr>
        <w:t xml:space="preserve">Founded by entrepreneur and AI expert John Haller, Curant.ai is focused on bringing practical, enterprise-grade AI to one of the world's largest and most complex industries. The company is building the infrastructure that enables insurers to operate faster, smarter, and more efficiently in an increasingly complex digital world with a focus on AI safety and security.</w:t>
      </w:r>
    </w:p>
    <w:p w:rsidR="00000000" w:rsidDel="00000000" w:rsidP="00000000" w:rsidRDefault="00000000" w:rsidRPr="00000000" w14:paraId="00000009">
      <w:pPr>
        <w:spacing w:after="160" w:lineRule="auto"/>
        <w:rPr/>
      </w:pPr>
      <w:r w:rsidDel="00000000" w:rsidR="00000000" w:rsidRPr="00000000">
        <w:rPr>
          <w:rtl w:val="0"/>
        </w:rPr>
        <w:t xml:space="preserve">Starting with a solution dedicated to disability, Curant.ai helps insurance organizations by streamlining claims adjudication through intelligent automation, data extraction, workflow orchestration, and AI-powered decision support. By reducing administrative burden and eliminating manual processes, the platform enables insurance professionals to focus on higher-value work, improve customer experiences, and consistently make faster, more informed decisions, all with superior insurance specificity, safety and security to outperform generic AI solutions.</w:t>
      </w:r>
    </w:p>
    <w:p w:rsidR="00000000" w:rsidDel="00000000" w:rsidP="00000000" w:rsidRDefault="00000000" w:rsidRPr="00000000" w14:paraId="0000000A">
      <w:pPr>
        <w:spacing w:after="160" w:lineRule="auto"/>
        <w:rPr/>
      </w:pPr>
      <w:r w:rsidDel="00000000" w:rsidR="00000000" w:rsidRPr="00000000">
        <w:rPr>
          <w:rtl w:val="0"/>
        </w:rPr>
        <w:t xml:space="preserve">The funding comes at a pivotal moment for the insurance industry as carriers increasingly seek AI-native solutions capable of improving efficiency, accuracy, and scalability while maintaining a high bar for compliance, security and transparency. Curant.ai’s platform integrates with existing systems and delivers source-backed insights, enterprise-grade security, and configurable workflows designed for mission-critical insurance operations. </w:t>
      </w:r>
    </w:p>
    <w:p w:rsidR="00000000" w:rsidDel="00000000" w:rsidP="00000000" w:rsidRDefault="00000000" w:rsidRPr="00000000" w14:paraId="0000000B">
      <w:pPr>
        <w:spacing w:after="0" w:lineRule="auto"/>
        <w:rPr/>
      </w:pPr>
      <w:r w:rsidDel="00000000" w:rsidR="00000000" w:rsidRPr="00000000">
        <w:rPr>
          <w:rtl w:val="0"/>
        </w:rPr>
      </w:r>
    </w:p>
    <w:tbl>
      <w:tblPr>
        <w:tblStyle w:val="Table1"/>
        <w:tblW w:w="10454.0" w:type="dxa"/>
        <w:jc w:val="left"/>
        <w:tblInd w:w="-115.0" w:type="dxa"/>
        <w:tblLayout w:type="fixed"/>
        <w:tblLook w:val="0400"/>
      </w:tblPr>
      <w:tblGrid>
        <w:gridCol w:w="10454"/>
        <w:tblGridChange w:id="0">
          <w:tblGrid>
            <w:gridCol w:w="10454"/>
          </w:tblGrid>
        </w:tblGridChange>
      </w:tblGrid>
      <w:tr>
        <w:trPr>
          <w:cantSplit w:val="0"/>
          <w:tblHeader w:val="1"/>
        </w:trPr>
        <w:tc>
          <w:tcPr>
            <w:tcBorders>
              <w:top w:color="e9f3fa" w:space="0" w:sz="4" w:val="single"/>
              <w:left w:color="e9f3fa" w:space="0" w:sz="4" w:val="single"/>
              <w:bottom w:color="e9f3fa" w:space="0" w:sz="4" w:val="single"/>
              <w:right w:color="e9f3fa" w:space="0" w:sz="4" w:val="single"/>
            </w:tcBorders>
            <w:shd w:fill="e9f3fa" w:val="clear"/>
            <w:tcMar>
              <w:top w:w="110.0" w:type="dxa"/>
              <w:bottom w:w="110.0" w:type="dxa"/>
            </w:tcMar>
          </w:tcPr>
          <w:p w:rsidR="00000000" w:rsidDel="00000000" w:rsidP="00000000" w:rsidRDefault="00000000" w:rsidRPr="00000000" w14:paraId="0000000C">
            <w:pPr>
              <w:keepLines w:val="1"/>
              <w:spacing w:after="160" w:lineRule="auto"/>
              <w:rPr>
                <w:b w:val="1"/>
                <w:bCs w:val="1"/>
                <w:color w:val="0b1629"/>
                <w:sz w:val="20"/>
                <w:szCs w:val="20"/>
              </w:rPr>
            </w:pPr>
            <w:r w:rsidDel="00000000" w:rsidR="00000000" w:rsidRPr="00000000">
              <w:rPr>
                <w:i w:val="1"/>
                <w:iCs w:val="1"/>
                <w:rtl w:val="0"/>
              </w:rPr>
              <w:t xml:space="preserve">“Insurance isn’t facing a technology problem—it’s facing a complexity problem,” said </w:t>
            </w:r>
            <w:r w:rsidDel="00000000" w:rsidR="00000000" w:rsidRPr="00000000">
              <w:rPr>
                <w:rtl w:val="0"/>
              </w:rPr>
              <w:t xml:space="preserve">John Haller, Founder and CEO of Curant.ai and AI expert</w:t>
            </w:r>
            <w:r w:rsidDel="00000000" w:rsidR="00000000" w:rsidRPr="00000000">
              <w:rPr>
                <w:i w:val="1"/>
                <w:iCs w:val="1"/>
                <w:rtl w:val="0"/>
              </w:rPr>
              <w:t xml:space="preserve">. “Claims professionals spend too much of their day searching for information, navigating fragmented systems, applying consistent policies, and completing administrative work instead of helping customers. AI should remove that complexity, not add to it. We built Curant.ai to become the trusted intelligence layer that works alongside insurance professionals, enabling faster decisions, stronger compliance, and better outcomes without replacing the expertise that insurers depend on.”  </w:t>
            </w:r>
            <w:r w:rsidDel="00000000" w:rsidR="00000000" w:rsidRPr="00000000">
              <w:rPr>
                <w:rtl w:val="0"/>
              </w:rPr>
              <w:t xml:space="preserve">Built on the philosophy of ‘Humans First, Better Outcomes Follow,’ Haller believes that AI will unlock the associate’s full potential. </w:t>
            </w:r>
            <w:r w:rsidDel="00000000" w:rsidR="00000000" w:rsidRPr="00000000">
              <w:rPr>
                <w:rtl w:val="0"/>
              </w:rPr>
            </w:r>
          </w:p>
        </w:tc>
      </w:tr>
    </w:tbl>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50" w:before="0" w:line="259" w:lineRule="auto"/>
        <w:ind w:left="0" w:right="0" w:firstLine="0"/>
        <w:jc w:val="left"/>
        <w:rPr>
          <w:rFonts w:ascii="Arial" w:cs="Arial" w:eastAsia="Arial" w:hAnsi="Arial"/>
          <w:b w:val="0"/>
          <w:bCs w:val="0"/>
          <w:i w:val="0"/>
          <w:iCs w:val="0"/>
          <w:smallCaps w:val="0"/>
          <w:strike w:val="0"/>
          <w:color w:val="1c1c1c"/>
          <w:sz w:val="19"/>
          <w:szCs w:val="19"/>
          <w:u w:val="none"/>
          <w:shd w:fill="auto" w:val="clear"/>
          <w:vertAlign w:val="baseline"/>
        </w:rPr>
      </w:pPr>
      <w:r w:rsidDel="00000000" w:rsidR="00000000" w:rsidRPr="00000000">
        <w:rPr>
          <w:rtl w:val="0"/>
        </w:rPr>
      </w:r>
    </w:p>
    <w:tbl>
      <w:tblPr>
        <w:tblStyle w:val="Table2"/>
        <w:tblW w:w="10454.0" w:type="dxa"/>
        <w:jc w:val="left"/>
        <w:tblInd w:w="-115.0" w:type="dxa"/>
        <w:tblLayout w:type="fixed"/>
        <w:tblLook w:val="0400"/>
      </w:tblPr>
      <w:tblGrid>
        <w:gridCol w:w="10454"/>
        <w:tblGridChange w:id="0">
          <w:tblGrid>
            <w:gridCol w:w="10454"/>
          </w:tblGrid>
        </w:tblGridChange>
      </w:tblGrid>
      <w:tr>
        <w:trPr>
          <w:cantSplit w:val="0"/>
          <w:tblHeader w:val="1"/>
        </w:trPr>
        <w:tc>
          <w:tcPr>
            <w:tcBorders>
              <w:top w:color="e9f3fa" w:space="0" w:sz="4" w:val="single"/>
              <w:left w:color="e9f3fa" w:space="0" w:sz="4" w:val="single"/>
              <w:bottom w:color="e9f3fa" w:space="0" w:sz="4" w:val="single"/>
              <w:right w:color="e9f3fa" w:space="0" w:sz="4" w:val="single"/>
            </w:tcBorders>
            <w:shd w:fill="e9f3fa" w:val="clear"/>
            <w:tcMar>
              <w:top w:w="110.0" w:type="dxa"/>
              <w:bottom w:w="110.0" w:type="dxa"/>
            </w:tcMar>
          </w:tcPr>
          <w:p w:rsidR="00000000" w:rsidDel="00000000" w:rsidP="00000000" w:rsidRDefault="00000000" w:rsidRPr="00000000" w14:paraId="0000000E">
            <w:pPr>
              <w:keepLines w:val="1"/>
              <w:spacing w:after="0" w:lineRule="auto"/>
              <w:rPr>
                <w:b w:val="1"/>
                <w:bCs w:val="1"/>
                <w:color w:val="0b1629"/>
                <w:sz w:val="20"/>
                <w:szCs w:val="20"/>
              </w:rPr>
            </w:pPr>
            <w:r w:rsidDel="00000000" w:rsidR="00000000" w:rsidRPr="00000000">
              <w:rPr>
                <w:i w:val="1"/>
                <w:iCs w:val="1"/>
                <w:rtl w:val="0"/>
              </w:rPr>
              <w:t xml:space="preserve">“Our team got excited last year with the potential of continuing Humania's legacy of technology innovation with an investment into Curant.ai that helped drive our strategic vision for AI while at the same time solving an acute issue with disability and life operations. Curant.ai has exceeded original expectations with their safe and secure intelligence layer that sits on top of our system of record and is a game changer for our claim associates' efficiency, consistency, and job satisfaction. It is important to note that the AI serves as a facilitator and accelerator in this process; the final decision always rests with our experts, who retain full control and accountability over every claim outcome.” </w:t>
            </w:r>
            <w:r w:rsidDel="00000000" w:rsidR="00000000" w:rsidRPr="00000000">
              <w:rPr>
                <w:rtl w:val="0"/>
              </w:rPr>
              <w:t xml:space="preserve">said Luc Thibault, SVP of Humania Insurance who sponsored the commercial partnership with Curant.ai.</w:t>
            </w:r>
            <w:r w:rsidDel="00000000" w:rsidR="00000000" w:rsidRPr="00000000">
              <w:rPr>
                <w:rtl w:val="0"/>
              </w:rPr>
            </w:r>
          </w:p>
        </w:tc>
      </w:tr>
    </w:tbl>
    <w:p w:rsidR="00000000" w:rsidDel="00000000" w:rsidP="00000000" w:rsidRDefault="00000000" w:rsidRPr="00000000" w14:paraId="0000000F">
      <w:pPr>
        <w:spacing w:after="160" w:lineRule="auto"/>
        <w:rPr/>
      </w:pPr>
      <w:r w:rsidDel="00000000" w:rsidR="00000000" w:rsidRPr="00000000">
        <w:rPr>
          <w:rtl w:val="0"/>
        </w:rPr>
      </w:r>
    </w:p>
    <w:p w:rsidR="00000000" w:rsidDel="00000000" w:rsidP="00000000" w:rsidRDefault="00000000" w:rsidRPr="00000000" w14:paraId="00000010">
      <w:pPr>
        <w:spacing w:after="160" w:lineRule="auto"/>
        <w:rPr/>
      </w:pPr>
      <w:r w:rsidDel="00000000" w:rsidR="00000000" w:rsidRPr="00000000">
        <w:rPr>
          <w:rtl w:val="0"/>
        </w:rPr>
      </w:r>
    </w:p>
    <w:p w:rsidR="00000000" w:rsidDel="00000000" w:rsidP="00000000" w:rsidRDefault="00000000" w:rsidRPr="00000000" w14:paraId="00000011">
      <w:pPr>
        <w:spacing w:after="180" w:lineRule="auto"/>
        <w:rPr>
          <w:b w:val="1"/>
          <w:bCs w:val="1"/>
          <w:color w:val="255ccc"/>
        </w:rPr>
      </w:pPr>
      <w:r w:rsidDel="00000000" w:rsidR="00000000" w:rsidRPr="00000000">
        <w:rPr>
          <w:b w:val="1"/>
          <w:bCs w:val="1"/>
          <w:color w:val="255ccc"/>
          <w:rtl w:val="0"/>
        </w:rPr>
        <w:t xml:space="preserve">About Curant.ai</w:t>
      </w:r>
    </w:p>
    <w:p w:rsidR="00000000" w:rsidDel="00000000" w:rsidP="00000000" w:rsidRDefault="00000000" w:rsidRPr="00000000" w14:paraId="00000012">
      <w:pPr>
        <w:spacing w:after="180" w:lineRule="auto"/>
        <w:rPr/>
      </w:pPr>
      <w:r w:rsidDel="00000000" w:rsidR="00000000" w:rsidRPr="00000000">
        <w:rPr>
          <w:rtl w:val="0"/>
        </w:rPr>
        <w:t xml:space="preserve">Curant.ai is an AI-powered platform built for the insurance industry. The company's agentic AI technology automates data extraction, analysis, workflow execution, and decision support, enabling insurers to improve efficiency, increase accuracy, and securely deliver better outcomes at scale. By combining advanced AI with deep industry expertise, Curant.ai helps organizations transform operations and unlock new levels of productivity and service.</w:t>
      </w:r>
    </w:p>
    <w:p w:rsidR="00000000" w:rsidDel="00000000" w:rsidP="00000000" w:rsidRDefault="00000000" w:rsidRPr="00000000" w14:paraId="00000013">
      <w:pPr>
        <w:spacing w:after="60" w:lineRule="auto"/>
        <w:rPr>
          <w:b w:val="1"/>
          <w:bCs w:val="1"/>
        </w:rPr>
      </w:pPr>
      <w:r w:rsidDel="00000000" w:rsidR="00000000" w:rsidRPr="00000000">
        <w:rPr>
          <w:rtl w:val="0"/>
        </w:rPr>
      </w:r>
    </w:p>
    <w:p w:rsidR="00000000" w:rsidDel="00000000" w:rsidP="00000000" w:rsidRDefault="00000000" w:rsidRPr="00000000" w14:paraId="00000014">
      <w:pPr>
        <w:spacing w:after="60" w:lineRule="auto"/>
        <w:rPr/>
      </w:pPr>
      <w:r w:rsidDel="00000000" w:rsidR="00000000" w:rsidRPr="00000000">
        <w:rPr>
          <w:rtl w:val="0"/>
        </w:rPr>
        <w:t xml:space="preserve">Media</w:t>
        <w:br w:type="textWrapping"/>
      </w:r>
      <w:hyperlink r:id="rId8">
        <w:r w:rsidDel="00000000" w:rsidR="00000000" w:rsidRPr="00000000">
          <w:rPr>
            <w:color w:val="1155cc"/>
            <w:u w:val="single"/>
            <w:rtl w:val="0"/>
          </w:rPr>
          <w:t xml:space="preserve">jodi@curant.ai</w:t>
        </w:r>
      </w:hyperlink>
      <w:r w:rsidDel="00000000" w:rsidR="00000000" w:rsidRPr="00000000">
        <w:rPr>
          <w:rtl w:val="0"/>
        </w:rPr>
      </w:r>
    </w:p>
    <w:p w:rsidR="00000000" w:rsidDel="00000000" w:rsidP="00000000" w:rsidRDefault="00000000" w:rsidRPr="00000000" w14:paraId="00000015">
      <w:pPr>
        <w:spacing w:after="60" w:lineRule="auto"/>
        <w:rPr/>
      </w:pPr>
      <w:r w:rsidDel="00000000" w:rsidR="00000000" w:rsidRPr="00000000">
        <w:rPr>
          <w:rtl w:val="0"/>
        </w:rPr>
      </w:r>
    </w:p>
    <w:p w:rsidR="00000000" w:rsidDel="00000000" w:rsidP="00000000" w:rsidRDefault="00000000" w:rsidRPr="00000000" w14:paraId="00000016">
      <w:pPr>
        <w:spacing w:after="60" w:lineRule="auto"/>
        <w:rPr/>
      </w:pPr>
      <w:hyperlink r:id="rId9">
        <w:r w:rsidDel="00000000" w:rsidR="00000000" w:rsidRPr="00000000">
          <w:rPr>
            <w:color w:val="1155cc"/>
            <w:u w:val="single"/>
            <w:rtl w:val="0"/>
          </w:rPr>
          <w:t xml:space="preserve">Book a demo</w:t>
        </w:r>
      </w:hyperlink>
      <w:r w:rsidDel="00000000" w:rsidR="00000000" w:rsidRPr="00000000">
        <w:rPr>
          <w:rtl w:val="0"/>
        </w:rPr>
      </w:r>
    </w:p>
    <w:p w:rsidR="00000000" w:rsidDel="00000000" w:rsidP="00000000" w:rsidRDefault="00000000" w:rsidRPr="00000000" w14:paraId="00000017">
      <w:pPr>
        <w:spacing w:after="60" w:lineRule="auto"/>
        <w:rPr/>
      </w:pPr>
      <w:r w:rsidDel="00000000" w:rsidR="00000000" w:rsidRPr="00000000">
        <w:rPr>
          <w:rtl w:val="0"/>
        </w:rPr>
      </w:r>
    </w:p>
    <w:p w:rsidR="00000000" w:rsidDel="00000000" w:rsidP="00000000" w:rsidRDefault="00000000" w:rsidRPr="00000000" w14:paraId="00000018">
      <w:pPr>
        <w:spacing w:after="160" w:lineRule="auto"/>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headerReference r:id="rId10" w:type="default"/>
      <w:footerReference r:id="rId11" w:type="default"/>
      <w:pgSz w:h="15840" w:w="12240" w:orient="portrait"/>
      <w:pgMar w:bottom="893" w:top="835" w:left="893" w:right="893" w:header="403" w:footer="40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1c1c1c"/>
        <w:sz w:val="19"/>
        <w:szCs w:val="19"/>
        <w:u w:val="none"/>
        <w:shd w:fill="auto" w:val="clear"/>
        <w:vertAlign w:val="baseline"/>
      </w:rPr>
    </w:pPr>
    <w:r w:rsidDel="00000000" w:rsidR="00000000" w:rsidRPr="00000000">
      <w:rPr>
        <w:rFonts w:ascii="Arial" w:cs="Arial" w:eastAsia="Arial" w:hAnsi="Arial"/>
        <w:b w:val="1"/>
        <w:bCs w:val="1"/>
        <w:i w:val="1"/>
        <w:iCs w:val="1"/>
        <w:smallCaps w:val="0"/>
        <w:strike w:val="0"/>
        <w:color w:val="255ccc"/>
        <w:sz w:val="16"/>
        <w:szCs w:val="16"/>
        <w:u w:val="none"/>
        <w:shd w:fill="auto" w:val="clear"/>
        <w:vertAlign w:val="baseline"/>
        <w:rtl w:val="0"/>
      </w:rPr>
      <w:t xml:space="preserve"> Curant.ai  |  July 2</w:t>
    </w:r>
    <w:r w:rsidDel="00000000" w:rsidR="00000000" w:rsidRPr="00000000">
      <w:rPr>
        <w:b w:val="1"/>
        <w:bCs w:val="1"/>
        <w:i w:val="1"/>
        <w:iCs w:val="1"/>
        <w:color w:val="255ccc"/>
        <w:sz w:val="16"/>
        <w:szCs w:val="16"/>
        <w:rtl w:val="0"/>
      </w:rPr>
      <w:t xml:space="preserve">8</w:t>
    </w:r>
    <w:r w:rsidDel="00000000" w:rsidR="00000000" w:rsidRPr="00000000">
      <w:rPr>
        <w:rFonts w:ascii="Arial" w:cs="Arial" w:eastAsia="Arial" w:hAnsi="Arial"/>
        <w:b w:val="1"/>
        <w:bCs w:val="1"/>
        <w:i w:val="1"/>
        <w:iCs w:val="1"/>
        <w:smallCaps w:val="0"/>
        <w:strike w:val="0"/>
        <w:color w:val="255ccc"/>
        <w:sz w:val="16"/>
        <w:szCs w:val="16"/>
        <w:u w:val="none"/>
        <w:shd w:fill="auto" w:val="clear"/>
        <w:vertAlign w:val="baseline"/>
        <w:rtl w:val="0"/>
      </w:rPr>
      <w:t xml:space="preserve">, 2026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1c1c1c"/>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color w:val="255ccc"/>
        <w:sz w:val="16"/>
        <w:szCs w:val="16"/>
        <w:u w:val="none"/>
        <w:shd w:fill="auto" w:val="clear"/>
        <w:vertAlign w:val="baseline"/>
        <w:rtl w:val="0"/>
      </w:rPr>
      <w:t xml:space="preserve">CURANT.AI  |  PRESS RELEASE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c1c1c"/>
        <w:sz w:val="19"/>
        <w:szCs w:val="19"/>
        <w:lang w:val="en"/>
      </w:rPr>
    </w:rPrDefault>
    <w:pPrDefault>
      <w:pPr>
        <w:spacing w:after="8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before="220" w:lineRule="auto"/>
    </w:pPr>
    <w:rPr>
      <w:rFonts w:ascii="Arial" w:cs="Arial" w:eastAsia="Arial" w:hAnsi="Arial"/>
      <w:b w:val="1"/>
      <w:bCs w:val="1"/>
      <w:color w:val="0b1629"/>
      <w:sz w:val="30"/>
      <w:szCs w:val="30"/>
    </w:rPr>
  </w:style>
  <w:style w:type="paragraph" w:styleId="Heading2">
    <w:name w:val="heading 2"/>
    <w:basedOn w:val="Normal"/>
    <w:next w:val="Normal"/>
    <w:pPr>
      <w:keepNext w:val="1"/>
      <w:keepLines w:val="1"/>
      <w:spacing w:after="60" w:before="140" w:lineRule="auto"/>
    </w:pPr>
    <w:rPr>
      <w:rFonts w:ascii="Arial" w:cs="Arial" w:eastAsia="Arial" w:hAnsi="Arial"/>
      <w:b w:val="1"/>
      <w:bCs w:val="1"/>
      <w:color w:val="255ccc"/>
      <w:sz w:val="23"/>
      <w:szCs w:val="23"/>
    </w:rPr>
  </w:style>
  <w:style w:type="paragraph" w:styleId="Heading3">
    <w:name w:val="heading 3"/>
    <w:basedOn w:val="Normal"/>
    <w:next w:val="Normal"/>
    <w:pPr>
      <w:keepNext w:val="1"/>
      <w:keepLines w:val="1"/>
      <w:spacing w:after="40" w:before="100" w:lineRule="auto"/>
    </w:pPr>
    <w:rPr>
      <w:rFonts w:ascii="Arial" w:cs="Arial" w:eastAsia="Arial" w:hAnsi="Arial"/>
      <w:b w:val="1"/>
      <w:bCs w:val="1"/>
      <w:color w:val="0b1629"/>
      <w:sz w:val="20"/>
      <w:szCs w:val="20"/>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keepNext w:val="1"/>
      <w:pBdr>
        <w:bottom w:color="4f81bd" w:space="4" w:sz="8" w:val="single"/>
      </w:pBdr>
      <w:spacing w:after="100" w:before="0" w:line="240" w:lineRule="auto"/>
    </w:pPr>
    <w:rPr>
      <w:rFonts w:ascii="Arial" w:cs="Arial" w:eastAsia="Arial" w:hAnsi="Arial"/>
      <w:b w:val="1"/>
      <w:bCs w:val="1"/>
      <w:color w:val="0b1629"/>
      <w:sz w:val="50"/>
      <w:szCs w:val="50"/>
    </w:rPr>
  </w:style>
  <w:style w:type="paragraph" w:styleId="Subtitle">
    <w:name w:val="Subtitle"/>
    <w:basedOn w:val="Normal"/>
    <w:next w:val="Normal"/>
    <w:pPr>
      <w:keepNext w:val="1"/>
      <w:spacing w:after="200" w:before="0" w:lineRule="auto"/>
    </w:pPr>
    <w:rPr>
      <w:rFonts w:ascii="Arial" w:cs="Arial" w:eastAsia="Arial" w:hAnsi="Arial"/>
      <w:b w:val="0"/>
      <w:bCs w:val="0"/>
      <w:i w:val="1"/>
      <w:iCs w:val="1"/>
      <w:color w:val="525252"/>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calendly.com/john-haller/dem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jodi@curant.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fmUwivkGrVFPdkAC3bw1FrVdRQ==">CgMxLjAyDmguejU0cHo5b3N1YXFvOAByITFzX0QxNGdiZWtkbEhHRzdUeDZWa01VUThwOGdLSHhKZw==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